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0B06" w14:textId="66022AD1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F60CB5">
        <w:rPr>
          <w:rFonts w:ascii="Invesco Interstate Bold" w:hAnsi="Invesco Interstate Bold"/>
          <w:b/>
          <w:bCs/>
          <w:sz w:val="28"/>
          <w:szCs w:val="28"/>
        </w:rPr>
        <w:t xml:space="preserve">Rostoucí výnosy amerických státních dluhopisů zčásti ulehčují práci </w:t>
      </w:r>
      <w:proofErr w:type="spellStart"/>
      <w:r w:rsidR="00F60CB5">
        <w:rPr>
          <w:rFonts w:ascii="Invesco Interstate Bold" w:hAnsi="Invesco Interstate Bold"/>
          <w:b/>
          <w:bCs/>
          <w:sz w:val="28"/>
          <w:szCs w:val="28"/>
        </w:rPr>
        <w:t>Fedu</w:t>
      </w:r>
      <w:proofErr w:type="spellEnd"/>
    </w:p>
    <w:p w14:paraId="4DEAA6BE" w14:textId="77777777" w:rsidR="001F6A31" w:rsidRPr="001F6A31" w:rsidRDefault="001F6A31" w:rsidP="00916408">
      <w:pPr>
        <w:spacing w:before="100" w:beforeAutospacing="1" w:afterAutospacing="1" w:line="24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Komentář Kristiny </w:t>
      </w:r>
      <w:proofErr w:type="spellStart"/>
      <w:r w:rsidRPr="001F6A31">
        <w:rPr>
          <w:rFonts w:ascii="Invesco Interstate Bold" w:hAnsi="Invesco Interstate Bold"/>
          <w:b/>
          <w:bCs/>
          <w:sz w:val="24"/>
          <w:szCs w:val="24"/>
        </w:rPr>
        <w:t>Hooper</w:t>
      </w:r>
      <w:proofErr w:type="spellEnd"/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, vedoucí stratéžky pro globální trhy, </w:t>
      </w:r>
      <w:proofErr w:type="spellStart"/>
      <w:r w:rsidRPr="001F6A31">
        <w:rPr>
          <w:rFonts w:ascii="Invesco Interstate Bold" w:hAnsi="Invesco Interstate Bold"/>
          <w:b/>
          <w:bCs/>
          <w:sz w:val="24"/>
          <w:szCs w:val="24"/>
        </w:rPr>
        <w:t>Invesco</w:t>
      </w:r>
      <w:proofErr w:type="spellEnd"/>
      <w:r w:rsidRPr="001F6A31">
        <w:rPr>
          <w:rFonts w:ascii="Invesco Interstate Bold" w:hAnsi="Invesco Interstate Bold"/>
          <w:b/>
          <w:bCs/>
          <w:sz w:val="24"/>
          <w:szCs w:val="24"/>
        </w:rPr>
        <w:t xml:space="preserve"> Ltd.</w:t>
      </w:r>
    </w:p>
    <w:p w14:paraId="5EC83439" w14:textId="393DF159" w:rsidR="0007194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 w:rsidRPr="00F60CB5">
        <w:rPr>
          <w:rFonts w:ascii="Invesco Interstate Bold" w:hAnsi="Invesco Interstate Bold"/>
          <w:b/>
          <w:bCs/>
          <w:sz w:val="24"/>
          <w:szCs w:val="24"/>
        </w:rPr>
        <w:t>P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okud jde o zpřísnění </w:t>
      </w:r>
      <w:r w:rsidRPr="00F60CB5">
        <w:rPr>
          <w:rFonts w:ascii="Invesco Interstate Bold" w:hAnsi="Invesco Interstate Bold"/>
          <w:b/>
          <w:bCs/>
          <w:sz w:val="24"/>
          <w:szCs w:val="24"/>
        </w:rPr>
        <w:t>finančních podmínek, a tedy zpomalení ekonomiky, Fed za sebe nechává pracovat výnosy desetiletých amerických státních dluhopisů. Nedávno jsme byli svědky toho, jak se výnos 10letých amerických státních dluhopisů posunul z 4,59 % (13. října) na 5 % (23. října).</w:t>
      </w:r>
    </w:p>
    <w:p w14:paraId="508F23C2" w14:textId="77777777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Zdá se, že Fed si v rostoucím desetiletém výnosu našel "pomocníka". V posledních dnech se tak vyjádřili různí členové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. Dokonce i předseda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Jay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Powell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přiznal, že "finanční podmínky se v posledních měsících výrazně zpřísnily a výnosy dlouhodobějších dluhopisů byly důležitým hnacím motorem tohoto zpřísnění".</w:t>
      </w:r>
    </w:p>
    <w:p w14:paraId="063B9CC6" w14:textId="24E31106" w:rsidR="00071945" w:rsidRPr="00A92778" w:rsidRDefault="00F60CB5" w:rsidP="00071945">
      <w:pPr>
        <w:spacing w:before="100" w:beforeAutospacing="1" w:afterAutospacing="1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Proč rostou výnosy dlouhodobých dluhopisů?</w:t>
      </w:r>
    </w:p>
    <w:p w14:paraId="68091B93" w14:textId="77777777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Důvodů tohoto růstu je celá řada. Výnos desetiletých amerických státních dluhopisů se skládá ze dvou faktorů: 1) je ovlivněn krátkodobými sazbami (což je poměrně jednoduché) a 2) zohledňuje "prémii za dobu splatnosti", kterou investoři požadují za to, že si dluhopis ponechají dlouho. Tato termínová prémie odráží vše ostatní, co by mohlo nastat v průběhu životnosti dluhopisu, včetně možného růstu a inflačních očekávání. V poslední době zůstávají inflační očekávání relativně stabilní, a proto musíme hledat jiné faktory, které vysvětlují růst výnosů:</w:t>
      </w:r>
    </w:p>
    <w:p w14:paraId="3FD227EE" w14:textId="77777777" w:rsidR="00F60CB5" w:rsidRPr="00F60CB5" w:rsidRDefault="00F60CB5" w:rsidP="00F60CB5">
      <w:pPr>
        <w:pStyle w:val="Odstavecseseznamem"/>
        <w:numPr>
          <w:ilvl w:val="0"/>
          <w:numId w:val="34"/>
        </w:numPr>
        <w:spacing w:before="100" w:beforeAutospacing="1" w:afterAutospacing="1"/>
        <w:jc w:val="both"/>
        <w:rPr>
          <w:rFonts w:ascii="Invesco Interstate Light" w:hAnsi="Invesco Interstate Light"/>
        </w:rPr>
      </w:pPr>
      <w:r w:rsidRPr="00F60CB5">
        <w:rPr>
          <w:rFonts w:ascii="Invesco Interstate Light" w:hAnsi="Invesco Interstate Light"/>
        </w:rPr>
        <w:t xml:space="preserve">Očekávání </w:t>
      </w:r>
      <w:proofErr w:type="spellStart"/>
      <w:r w:rsidRPr="00F60CB5">
        <w:rPr>
          <w:rFonts w:ascii="Invesco Interstate Light" w:hAnsi="Invesco Interstate Light"/>
        </w:rPr>
        <w:t>Fedu</w:t>
      </w:r>
      <w:proofErr w:type="spellEnd"/>
      <w:r w:rsidRPr="00F60CB5">
        <w:rPr>
          <w:rFonts w:ascii="Invesco Interstate Light" w:hAnsi="Invesco Interstate Light"/>
        </w:rPr>
        <w:t>. Trhy především věří, že Fed bude udržovat sazby na vyšší úrovni po delší dobu. Katalyzátorem, který odstartoval poslední rallye, bylo zveřejnění zářijového "</w:t>
      </w:r>
      <w:proofErr w:type="spellStart"/>
      <w:r w:rsidRPr="00F60CB5">
        <w:rPr>
          <w:rFonts w:ascii="Invesco Interstate Light" w:hAnsi="Invesco Interstate Light"/>
        </w:rPr>
        <w:t>dot</w:t>
      </w:r>
      <w:proofErr w:type="spellEnd"/>
      <w:r w:rsidRPr="00F60CB5">
        <w:rPr>
          <w:rFonts w:ascii="Invesco Interstate Light" w:hAnsi="Invesco Interstate Light"/>
        </w:rPr>
        <w:t xml:space="preserve"> plot", který naznačil, že bychom se mohli dočkat snížení sazeb o 50 bazických bodů pro rok 2024 (což je výrazná změna oproti snížení o 100 bazických bodů naznačenému v červnovém </w:t>
      </w:r>
      <w:proofErr w:type="spellStart"/>
      <w:r w:rsidRPr="00F60CB5">
        <w:rPr>
          <w:rFonts w:ascii="Invesco Interstate Light" w:hAnsi="Invesco Interstate Light"/>
        </w:rPr>
        <w:t>dot</w:t>
      </w:r>
      <w:proofErr w:type="spellEnd"/>
      <w:r w:rsidRPr="00F60CB5">
        <w:rPr>
          <w:rFonts w:ascii="Invesco Interstate Light" w:hAnsi="Invesco Interstate Light"/>
        </w:rPr>
        <w:t xml:space="preserve"> plot). To odstartovalo větší citlivost na pozitivní ekonomické údaje. Pozitivní překvapení, jako například údaje o maloobchodních tržbách v USA zveřejněné minulý týden, pomohla posunout výnosy desetiletých amerických státních dluhopisů výše.</w:t>
      </w:r>
    </w:p>
    <w:p w14:paraId="0B3FCBE1" w14:textId="77777777" w:rsidR="00F60CB5" w:rsidRDefault="00F60CB5" w:rsidP="00F60CB5">
      <w:pPr>
        <w:pStyle w:val="Odstavecseseznamem"/>
        <w:numPr>
          <w:ilvl w:val="0"/>
          <w:numId w:val="34"/>
        </w:numPr>
        <w:spacing w:before="100" w:beforeAutospacing="1" w:afterAutospacing="1"/>
        <w:jc w:val="both"/>
        <w:rPr>
          <w:rFonts w:ascii="Invesco Interstate Light" w:hAnsi="Invesco Interstate Light"/>
        </w:rPr>
      </w:pPr>
      <w:r w:rsidRPr="00F60CB5">
        <w:rPr>
          <w:rFonts w:ascii="Invesco Interstate Light" w:hAnsi="Invesco Interstate Light"/>
        </w:rPr>
        <w:t>Nabídka a poptávka. Stejně jako u každého aktiva určuje cenu nabídka a poptávka, přičemž dochází k narůstající nerovnováze. Na straně nabídky bylo po zrušení dluhového stropu na začátku loňského léta vydáno více státních dluhopisů. Na straně poptávky je určitá snížená poptávka ze strany zahraničních investorů v důsledku zhoršených vztahů s USA. Existují také vážné obavy z rostoucího zadlužení USA a větší závislosti na deficitních výdajích. I to může být důležitou součástí poněkud mlhavého výpočtu termínových prémií.</w:t>
      </w:r>
    </w:p>
    <w:p w14:paraId="7E74C4E2" w14:textId="0FF18493" w:rsidR="00F60CB5" w:rsidRPr="00F60CB5" w:rsidRDefault="00F60CB5" w:rsidP="00F60CB5">
      <w:pPr>
        <w:spacing w:before="100" w:beforeAutospacing="1" w:afterAutospacing="1"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Poptávka po „bezpečných“ aktivech ovlivňuje i výnosy státních dluhopisů</w:t>
      </w:r>
    </w:p>
    <w:p w14:paraId="22E969C9" w14:textId="103A9BCF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Samozřejmě existuje protiváha, která může tlačit výnosy dolů, a od začátku konfliktu na Blízkém východě tak už nejméně několik dní činila: V tomto případě se jedná především o preferenci "bezpečných přístavů". Objevily se obavy, že by tato krize mohla být nakažlivá a rozšířit se na další země, což v několika dnech od začátku konfliktu podpořilo přesun do státních dluhopisů. Ačkoli se mnohem více jako třída bezpečných aktiv preferovalo zlato, tyto preference se mohou měnit – zejména proto, že náklady obětované příležitosti na vlastnictví zlata jsou vyšší, jak výnosy rostou.</w:t>
      </w:r>
    </w:p>
    <w:p w14:paraId="1E198470" w14:textId="0285401E" w:rsidR="00F60CB5" w:rsidRPr="00F60CB5" w:rsidRDefault="00F60CB5" w:rsidP="00F60CB5">
      <w:pPr>
        <w:spacing w:before="100" w:beforeAutospacing="1" w:afterAutospacing="1"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lastRenderedPageBreak/>
        <w:t>Je vysoký desetiletý výnos dobrý nebo špatný?</w:t>
      </w:r>
    </w:p>
    <w:p w14:paraId="189FDED0" w14:textId="77777777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Rostoucí výnos desetiletých dluhopisů je pravděpodobně pozitivním jevem. Znamená totiž, že Fed již nemusí zvyšovat sazby, a proto podle mého názoru urychluje konec cyklu utahování. Vyvíjí však také tlak na pokles akcií. Když mluvím s klienty mimo USA, obávají se dopadu, který budou mít vyšší hypoteční sazby, hnané vzhůru výnosem desetiletých amerických státních dluhopisů, na americké spotřebitele.</w:t>
      </w:r>
    </w:p>
    <w:p w14:paraId="6C034508" w14:textId="6AE23CE2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Ale i když celostátní průměrná 30letá fixní sazba hypoték v USA právě dosáhla 8 %, což je úroveň, která nebyla zaznamenána mnoho let, nemyslím si, že to bude mít na americké domácnosti příliš významný dopad. Je to proto, že více než 90 % stávajících hypoték v USA jsou hypotéky s dlouhodobou fixní sazbou – s průměrnou sazbou pod 4 % – takže rostoucí sazby nebudou mít na americké domácnosti takový dopad, jaký měly na domácnosti v jiných zemích, které nemají privilegium dlouhodobých hypoték s fixní sazbou, nebo jaký měly na americké domácnosti před globální finanční krizí, kdy téměř 40 % stávajících hypoték bylo s pohyblivou sazbou.</w:t>
      </w:r>
    </w:p>
    <w:p w14:paraId="7FF45A69" w14:textId="77777777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Největším důsledkem vysokých hypotečních sazeb může být nízký počet domů na prodej, protože mnoho majitelů domů není ochotno dát své domy na trh s tak vysokými sazbami. Toto prostředí pro ně tedy vytvořilo "zlatá pouta".</w:t>
      </w:r>
    </w:p>
    <w:p w14:paraId="6D8C0DCB" w14:textId="32225478" w:rsidR="00F60CB5" w:rsidRPr="00F60CB5" w:rsidRDefault="00F60CB5" w:rsidP="00F60CB5">
      <w:pPr>
        <w:spacing w:before="100" w:beforeAutospacing="1" w:afterAutospacing="1"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Jak dál? To záleží na </w:t>
      </w:r>
      <w:proofErr w:type="spellStart"/>
      <w:r>
        <w:rPr>
          <w:rFonts w:ascii="Invesco Interstate Light" w:hAnsi="Invesco Interstate Light"/>
          <w:b/>
          <w:bCs/>
          <w:sz w:val="22"/>
          <w:szCs w:val="22"/>
        </w:rPr>
        <w:t>Fedu</w:t>
      </w:r>
      <w:proofErr w:type="spellEnd"/>
    </w:p>
    <w:p w14:paraId="668B4FAA" w14:textId="77777777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Politická nejistota pravděpodobně vytvoří prostředí, ve kterém se výnos desetiletých dluhopisů bude v nejbližší době nadále pohybovat v širokém pásmu. Domnívám se však, že jakmile bude ze strany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jasné, že cyklus zvyšování sazeb skončil, pak si myslím uvidíme, jak výnosy začnou klesat. </w:t>
      </w:r>
    </w:p>
    <w:p w14:paraId="2690B6F7" w14:textId="6AB62B13" w:rsidR="00F60CB5" w:rsidRPr="00F60CB5" w:rsidRDefault="00F60CB5" w:rsidP="00F60CB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Myslím, že v příštích několika měsících se pravděpodobně dočkáme vyjasnění politiky. Koneckonců považuji za významné, že předseda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Jay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Powell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připustil, že "ukazatele růstu mezd ukazují postupný pokles směrem k úrovním, které by byly v průběhu času konzistentní s dvouprocentní inflací". Růst mezd je obvykle nejlepivějším bodem inflace, takže to naznačuje, že Fed je spokojen s pokrokem dosaženým na trhu práce – tím spíše by neměl mít potřebu znovu zvyšovat sazby.</w:t>
      </w:r>
    </w:p>
    <w:p w14:paraId="769ED719" w14:textId="1BEBC113" w:rsidR="00071945" w:rsidRPr="00071945" w:rsidRDefault="00F60CB5" w:rsidP="00071945">
      <w:pPr>
        <w:spacing w:before="100" w:beforeAutospacing="1" w:afterAutospacing="1"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I když Fed může v krátkodobém horizontu pokračovat v siláckých řečech, myslím, že rychle rozpozná známky zpožděných účinků měnové politiky na ekonomiku</w:t>
      </w:r>
      <w:r w:rsidR="0001779A">
        <w:rPr>
          <w:rFonts w:ascii="Invesco Interstate Light" w:eastAsiaTheme="minorEastAsia" w:hAnsi="Invesco Interstate Light"/>
          <w:sz w:val="22"/>
          <w:szCs w:val="22"/>
        </w:rPr>
        <w:t>. Já</w:t>
      </w: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se</w:t>
      </w:r>
      <w:r w:rsidR="0001779A">
        <w:rPr>
          <w:rFonts w:ascii="Invesco Interstate Light" w:eastAsiaTheme="minorEastAsia" w:hAnsi="Invesco Interstate Light"/>
          <w:sz w:val="22"/>
          <w:szCs w:val="22"/>
        </w:rPr>
        <w:t xml:space="preserve"> totiž</w:t>
      </w: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domnívám, že se blíží reálné zpomalení (hrbolaté přistání). Fed, který je </w:t>
      </w:r>
      <w:r w:rsidR="0001779A">
        <w:rPr>
          <w:rFonts w:ascii="Invesco Interstate Light" w:eastAsiaTheme="minorEastAsia" w:hAnsi="Invesco Interstate Light"/>
          <w:sz w:val="22"/>
          <w:szCs w:val="22"/>
        </w:rPr>
        <w:t>značně</w:t>
      </w: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závislý na datech, by si měl brzy uvědomit, že další zvyšování sazeb není potřeba – a že do konce první poloviny roku 2024 bude pravděpodobně potřeba alespoň jedno snížení sazeb. Domnívám se, že vyšší ceny ropy zatíží i amerického spotřebitele a udělají část práce </w:t>
      </w:r>
      <w:proofErr w:type="spellStart"/>
      <w:r w:rsidRPr="00F60CB5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 za něj.</w:t>
      </w:r>
    </w:p>
    <w:p w14:paraId="029102DE" w14:textId="5D5EC787" w:rsidR="00F60CB5" w:rsidRDefault="00F60CB5" w:rsidP="00F60CB5">
      <w:pPr>
        <w:spacing w:before="100" w:beforeAutospacing="1" w:afterAutospacing="1"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Co to znamená pro akcie?</w:t>
      </w:r>
    </w:p>
    <w:p w14:paraId="11B79EF2" w14:textId="2078BCE8" w:rsidR="00F60CB5" w:rsidRPr="00F60CB5" w:rsidRDefault="00F60CB5" w:rsidP="00F60CB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 xml:space="preserve">Americké akcie se v nejbližší době pravděpodobně dostanou pod tlak, protože výnos desetiletých dluhopisů zůstane na vysoké úrovni a možná se posune o něco výše. V říjnu index S&amp;P 500 klesl o více než 2 % na 4 224 bodů, což představuje nejnižší úroveň od 1. června. Musím to však celé uvést na pravou míru: Myslím, že </w:t>
      </w:r>
      <w:r w:rsidRPr="00F60CB5">
        <w:rPr>
          <w:rFonts w:ascii="Invesco Interstate Light" w:eastAsiaTheme="minorEastAsia" w:hAnsi="Invesco Interstate Light"/>
          <w:sz w:val="22"/>
          <w:szCs w:val="22"/>
        </w:rPr>
        <w:lastRenderedPageBreak/>
        <w:t>nám to říká, že recese, která byla v loňském roce oceněna přibližně 25% poklesem indexu S&amp;P 5008, je nahrazena zpomalením, které je předpovídáno mírnějším poklesem indexu S&amp;P 500 v letošním roce.</w:t>
      </w:r>
    </w:p>
    <w:p w14:paraId="2C8B0A83" w14:textId="77777777" w:rsidR="00F60CB5" w:rsidRPr="00F60CB5" w:rsidRDefault="00F60CB5" w:rsidP="00F60CB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4432774" w14:textId="31A5E71C" w:rsidR="00F60CB5" w:rsidRPr="00F60CB5" w:rsidRDefault="00F60CB5" w:rsidP="00F60CB5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F60CB5">
        <w:rPr>
          <w:rFonts w:ascii="Invesco Interstate Light" w:eastAsiaTheme="minorEastAsia" w:hAnsi="Invesco Interstate Light"/>
          <w:sz w:val="22"/>
          <w:szCs w:val="22"/>
        </w:rPr>
        <w:t>To vnímám jako prostředí, které nám připomíná důležitost široké diverzifikace nejen v rámci akcií a nástrojů s pevným výnosem, ale i alternativ.</w:t>
      </w:r>
    </w:p>
    <w:p w14:paraId="46AED424" w14:textId="77777777" w:rsidR="00DE00F5" w:rsidRDefault="00DE00F5" w:rsidP="00DE00F5"/>
    <w:p w14:paraId="3C0D3EDF" w14:textId="77777777" w:rsidR="00243188" w:rsidRDefault="00243188" w:rsidP="0024318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331CA06" w14:textId="77777777" w:rsidR="00A624F1" w:rsidRPr="000061D4" w:rsidRDefault="00A624F1" w:rsidP="002D1D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0820404B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584F373D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72070FA0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13EF5F9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133F8DA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1DEB5D6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7F2A922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34F67C0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84C07E5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7D7992E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51C745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3FA92140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66D6B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3EC93E2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4962BB6E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BBD538F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593B84A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B5D675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953536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7CB41AA4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46EFF9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514F0610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5FA869FA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5AF697AD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4125AB5A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5D2B7DED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88ACBF4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2FBF4E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5927A5F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61179BDF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1C3A65B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lastRenderedPageBreak/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F92D" w14:textId="77777777" w:rsidR="005C122B" w:rsidRDefault="005C122B">
      <w:r>
        <w:separator/>
      </w:r>
    </w:p>
  </w:endnote>
  <w:endnote w:type="continuationSeparator" w:id="0">
    <w:p w14:paraId="686FA856" w14:textId="77777777" w:rsidR="005C122B" w:rsidRDefault="005C122B">
      <w:r>
        <w:continuationSeparator/>
      </w:r>
    </w:p>
  </w:endnote>
  <w:endnote w:type="continuationNotice" w:id="1">
    <w:p w14:paraId="12111461" w14:textId="77777777" w:rsidR="005C122B" w:rsidRDefault="005C12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2928" w14:textId="77777777" w:rsidR="005C122B" w:rsidRDefault="005C122B">
      <w:r>
        <w:separator/>
      </w:r>
    </w:p>
  </w:footnote>
  <w:footnote w:type="continuationSeparator" w:id="0">
    <w:p w14:paraId="0DF9146A" w14:textId="77777777" w:rsidR="005C122B" w:rsidRDefault="005C122B">
      <w:r>
        <w:continuationSeparator/>
      </w:r>
    </w:p>
  </w:footnote>
  <w:footnote w:type="continuationNotice" w:id="1">
    <w:p w14:paraId="7C8E58A1" w14:textId="77777777" w:rsidR="005C122B" w:rsidRDefault="005C12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DBFA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14156BF2" wp14:editId="14DAEA53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55E3C7C2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1E733153" w14:textId="6FB133EE" w:rsidR="00702C33" w:rsidRPr="000730A6" w:rsidRDefault="001B3723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3</w:t>
    </w:r>
    <w:r w:rsidR="000452C7">
      <w:rPr>
        <w:color w:val="000000"/>
        <w:sz w:val="28"/>
        <w:szCs w:val="28"/>
      </w:rPr>
      <w:t>1</w:t>
    </w:r>
    <w:r w:rsidR="00071945">
      <w:rPr>
        <w:color w:val="000000"/>
        <w:sz w:val="28"/>
        <w:szCs w:val="28"/>
      </w:rPr>
      <w:t>.10</w:t>
    </w:r>
    <w:r w:rsidR="0083625E">
      <w:rPr>
        <w:color w:val="000000"/>
        <w:sz w:val="28"/>
        <w:szCs w:val="28"/>
      </w:rPr>
      <w:t>.2023</w:t>
    </w:r>
  </w:p>
  <w:p w14:paraId="4437FA7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28FB138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D8E87F6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7002C14E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C5BF5"/>
    <w:multiLevelType w:val="hybridMultilevel"/>
    <w:tmpl w:val="58FAF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B4E02"/>
    <w:multiLevelType w:val="multilevel"/>
    <w:tmpl w:val="B582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D3A5A"/>
    <w:multiLevelType w:val="hybridMultilevel"/>
    <w:tmpl w:val="7DC68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E3E5723"/>
    <w:multiLevelType w:val="hybridMultilevel"/>
    <w:tmpl w:val="34EEE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C2F3A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91A81"/>
    <w:multiLevelType w:val="hybridMultilevel"/>
    <w:tmpl w:val="DFCAE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D70"/>
    <w:multiLevelType w:val="multilevel"/>
    <w:tmpl w:val="11820CCE"/>
    <w:numStyleLink w:val="FormatvorlageAufgezhlt"/>
  </w:abstractNum>
  <w:abstractNum w:abstractNumId="15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30B23"/>
    <w:multiLevelType w:val="multilevel"/>
    <w:tmpl w:val="11820CCE"/>
    <w:numStyleLink w:val="FormatvorlageAufgezhlt"/>
  </w:abstractNum>
  <w:abstractNum w:abstractNumId="19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03C3"/>
    <w:multiLevelType w:val="multilevel"/>
    <w:tmpl w:val="11820CCE"/>
    <w:numStyleLink w:val="FormatvorlageAufgezhlt"/>
  </w:abstractNum>
  <w:abstractNum w:abstractNumId="26" w15:restartNumberingAfterBreak="0">
    <w:nsid w:val="6C6C4721"/>
    <w:multiLevelType w:val="multilevel"/>
    <w:tmpl w:val="11820CCE"/>
    <w:numStyleLink w:val="FormatvorlageAufgezhlt"/>
  </w:abstractNum>
  <w:abstractNum w:abstractNumId="27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2286C"/>
    <w:multiLevelType w:val="hybridMultilevel"/>
    <w:tmpl w:val="01C0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5380B"/>
    <w:multiLevelType w:val="multilevel"/>
    <w:tmpl w:val="11820CCE"/>
    <w:numStyleLink w:val="FormatvorlageAufgezhlt"/>
  </w:abstractNum>
  <w:abstractNum w:abstractNumId="30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06523">
    <w:abstractNumId w:val="0"/>
  </w:num>
  <w:num w:numId="2" w16cid:durableId="1547791082">
    <w:abstractNumId w:val="15"/>
  </w:num>
  <w:num w:numId="3" w16cid:durableId="1755471719">
    <w:abstractNumId w:val="23"/>
  </w:num>
  <w:num w:numId="4" w16cid:durableId="758217674">
    <w:abstractNumId w:val="16"/>
  </w:num>
  <w:num w:numId="5" w16cid:durableId="2076974718">
    <w:abstractNumId w:val="18"/>
  </w:num>
  <w:num w:numId="6" w16cid:durableId="510730063">
    <w:abstractNumId w:val="25"/>
  </w:num>
  <w:num w:numId="7" w16cid:durableId="1033918760">
    <w:abstractNumId w:val="26"/>
  </w:num>
  <w:num w:numId="8" w16cid:durableId="1158576048">
    <w:abstractNumId w:val="1"/>
  </w:num>
  <w:num w:numId="9" w16cid:durableId="62485740">
    <w:abstractNumId w:val="29"/>
  </w:num>
  <w:num w:numId="10" w16cid:durableId="488253827">
    <w:abstractNumId w:val="14"/>
  </w:num>
  <w:num w:numId="11" w16cid:durableId="1442604358">
    <w:abstractNumId w:val="6"/>
  </w:num>
  <w:num w:numId="12" w16cid:durableId="889847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3969842">
    <w:abstractNumId w:val="34"/>
  </w:num>
  <w:num w:numId="14" w16cid:durableId="637807393">
    <w:abstractNumId w:val="35"/>
  </w:num>
  <w:num w:numId="15" w16cid:durableId="1476875090">
    <w:abstractNumId w:val="22"/>
  </w:num>
  <w:num w:numId="16" w16cid:durableId="1972324655">
    <w:abstractNumId w:val="9"/>
  </w:num>
  <w:num w:numId="17" w16cid:durableId="1831630877">
    <w:abstractNumId w:val="2"/>
  </w:num>
  <w:num w:numId="18" w16cid:durableId="103966825">
    <w:abstractNumId w:val="24"/>
  </w:num>
  <w:num w:numId="19" w16cid:durableId="919558749">
    <w:abstractNumId w:val="27"/>
  </w:num>
  <w:num w:numId="20" w16cid:durableId="1537234565">
    <w:abstractNumId w:val="32"/>
  </w:num>
  <w:num w:numId="21" w16cid:durableId="1354376130">
    <w:abstractNumId w:val="31"/>
  </w:num>
  <w:num w:numId="22" w16cid:durableId="717819076">
    <w:abstractNumId w:val="13"/>
  </w:num>
  <w:num w:numId="23" w16cid:durableId="2104717872">
    <w:abstractNumId w:val="21"/>
  </w:num>
  <w:num w:numId="24" w16cid:durableId="1257788521">
    <w:abstractNumId w:val="17"/>
  </w:num>
  <w:num w:numId="25" w16cid:durableId="1125276436">
    <w:abstractNumId w:val="33"/>
  </w:num>
  <w:num w:numId="26" w16cid:durableId="1000086138">
    <w:abstractNumId w:val="20"/>
  </w:num>
  <w:num w:numId="27" w16cid:durableId="746922414">
    <w:abstractNumId w:val="4"/>
  </w:num>
  <w:num w:numId="28" w16cid:durableId="550306345">
    <w:abstractNumId w:val="7"/>
  </w:num>
  <w:num w:numId="29" w16cid:durableId="406150249">
    <w:abstractNumId w:val="30"/>
  </w:num>
  <w:num w:numId="30" w16cid:durableId="8600859">
    <w:abstractNumId w:val="19"/>
  </w:num>
  <w:num w:numId="31" w16cid:durableId="744958508">
    <w:abstractNumId w:val="8"/>
  </w:num>
  <w:num w:numId="32" w16cid:durableId="2168749">
    <w:abstractNumId w:val="3"/>
  </w:num>
  <w:num w:numId="33" w16cid:durableId="510753490">
    <w:abstractNumId w:val="5"/>
  </w:num>
  <w:num w:numId="34" w16cid:durableId="1527526861">
    <w:abstractNumId w:val="10"/>
  </w:num>
  <w:num w:numId="35" w16cid:durableId="310795662">
    <w:abstractNumId w:val="12"/>
  </w:num>
  <w:num w:numId="36" w16cid:durableId="118713459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1779A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52C7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945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488B"/>
    <w:rsid w:val="00174E66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723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5BE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2DB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122B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3C6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E6F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0B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57C2A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77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0CB5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562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5D3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4BC4E"/>
  <w15:docId w15:val="{7671B212-F2FF-4E60-9912-0F263194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079278-2CAE-46FD-B48E-7883658EC9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6887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2023-10-31T08:53:00Z</dcterms:created>
  <dcterms:modified xsi:type="dcterms:W3CDTF">2023-10-31T08:53:00Z</dcterms:modified>
</cp:coreProperties>
</file>